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附件1</w:t>
      </w:r>
    </w:p>
    <w:p>
      <w:pPr>
        <w:spacing w:line="360" w:lineRule="auto"/>
        <w:jc w:val="center"/>
        <w:rPr>
          <w:rFonts w:ascii="Times New Roman" w:hAnsi="Times New Roman" w:eastAsia="仿宋" w:cs="Times New Roman"/>
          <w:b/>
          <w:sz w:val="32"/>
          <w:szCs w:val="32"/>
        </w:rPr>
      </w:pPr>
      <w:r>
        <w:rPr>
          <w:rFonts w:ascii="Times New Roman" w:hAnsi="Times New Roman" w:eastAsia="仿宋" w:cs="Times New Roman"/>
          <w:b/>
          <w:sz w:val="32"/>
          <w:szCs w:val="32"/>
        </w:rPr>
        <w:t xml:space="preserve"> </w:t>
      </w:r>
    </w:p>
    <w:p>
      <w:pPr>
        <w:spacing w:line="360" w:lineRule="auto"/>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2021年广东省高等职业院校财经</w:t>
      </w:r>
      <w:r>
        <w:rPr>
          <w:rFonts w:hint="eastAsia" w:ascii="Times New Roman" w:hAnsi="Times New Roman" w:eastAsia="方正小标宋简体" w:cs="Times New Roman"/>
          <w:sz w:val="44"/>
          <w:szCs w:val="44"/>
          <w:lang w:eastAsia="zh-CN"/>
        </w:rPr>
        <w:t>类</w:t>
      </w:r>
      <w:bookmarkStart w:id="1" w:name="_GoBack"/>
      <w:bookmarkEnd w:id="1"/>
      <w:r>
        <w:rPr>
          <w:rFonts w:ascii="Times New Roman" w:hAnsi="Times New Roman" w:eastAsia="方正小标宋简体" w:cs="Times New Roman"/>
          <w:sz w:val="44"/>
          <w:szCs w:val="44"/>
        </w:rPr>
        <w:t>专业</w:t>
      </w:r>
    </w:p>
    <w:p>
      <w:pPr>
        <w:spacing w:line="360" w:lineRule="auto"/>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教学指导委员会教育教学改革项目</w:t>
      </w:r>
    </w:p>
    <w:p>
      <w:pPr>
        <w:spacing w:line="360" w:lineRule="auto"/>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申报指南</w:t>
      </w:r>
    </w:p>
    <w:p>
      <w:pPr>
        <w:spacing w:line="360" w:lineRule="auto"/>
        <w:ind w:firstLine="640" w:firstLineChars="200"/>
        <w:rPr>
          <w:rFonts w:ascii="Times New Roman" w:hAnsi="Times New Roman" w:eastAsia="仿宋" w:cs="Times New Roman"/>
          <w:sz w:val="32"/>
          <w:szCs w:val="32"/>
        </w:rPr>
      </w:pP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为落实《国务院办公厅关于深化产教融合的若干意见》《国家职业教育改革实施方案》和《职业教育提质培优行动计划（2020-2023）》，推进新时代职业教育的创新发展，围绕影响职业教育改革发展和人才培养质量的关键问题，提升我省</w:t>
      </w:r>
      <w:r>
        <w:rPr>
          <w:rFonts w:hint="eastAsia" w:ascii="Times New Roman" w:hAnsi="Times New Roman" w:eastAsia="仿宋" w:cs="Times New Roman"/>
          <w:sz w:val="32"/>
          <w:szCs w:val="32"/>
          <w:lang w:eastAsia="zh-CN"/>
        </w:rPr>
        <w:t>高等职业院校</w:t>
      </w:r>
      <w:r>
        <w:rPr>
          <w:rFonts w:ascii="Times New Roman" w:hAnsi="Times New Roman" w:eastAsia="仿宋" w:cs="Times New Roman"/>
          <w:sz w:val="32"/>
          <w:szCs w:val="32"/>
        </w:rPr>
        <w:t>财经类专业人才培养质量提供理论支撑和成果借鉴，特制定本指南。</w:t>
      </w:r>
    </w:p>
    <w:p>
      <w:pPr>
        <w:spacing w:line="360" w:lineRule="auto"/>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项目申报者可按本指南提供的选题方向选题，也可根据选题方向，结合本地区、行业、学校和个人的实际情况自行拟题。</w:t>
      </w:r>
    </w:p>
    <w:p>
      <w:pPr>
        <w:spacing w:line="360" w:lineRule="auto"/>
        <w:jc w:val="center"/>
        <w:rPr>
          <w:rFonts w:ascii="Times New Roman" w:hAnsi="Times New Roman" w:eastAsia="仿宋" w:cs="Times New Roman"/>
          <w:b/>
          <w:sz w:val="32"/>
          <w:szCs w:val="32"/>
        </w:rPr>
      </w:pPr>
      <w:r>
        <w:rPr>
          <w:rFonts w:ascii="Times New Roman" w:hAnsi="Times New Roman" w:eastAsia="仿宋" w:cs="Times New Roman"/>
          <w:b/>
          <w:sz w:val="32"/>
          <w:szCs w:val="32"/>
        </w:rPr>
        <w:t>选题指南</w:t>
      </w:r>
    </w:p>
    <w:tbl>
      <w:tblPr>
        <w:tblStyle w:val="5"/>
        <w:tblpPr w:leftFromText="180" w:rightFromText="180" w:vertAnchor="text" w:horzAnchor="margin" w:tblpX="-176" w:tblpY="198"/>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452"/>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autoSpaceDE w:val="0"/>
              <w:autoSpaceDN w:val="0"/>
              <w:adjustRightInd w:val="0"/>
              <w:jc w:val="center"/>
              <w:rPr>
                <w:rFonts w:ascii="Times New Roman" w:hAnsi="Times New Roman" w:eastAsia="仿宋" w:cs="Times New Roman"/>
                <w:sz w:val="30"/>
                <w:szCs w:val="30"/>
              </w:rPr>
            </w:pPr>
            <w:bookmarkStart w:id="0" w:name="_Hlk60007397"/>
            <w:r>
              <w:rPr>
                <w:rFonts w:ascii="Times New Roman" w:hAnsi="Times New Roman" w:eastAsia="仿宋" w:cs="Times New Roman"/>
                <w:sz w:val="30"/>
                <w:szCs w:val="30"/>
              </w:rPr>
              <w:t>序号</w:t>
            </w:r>
          </w:p>
        </w:tc>
        <w:tc>
          <w:tcPr>
            <w:tcW w:w="1452" w:type="dxa"/>
          </w:tcPr>
          <w:p>
            <w:pPr>
              <w:autoSpaceDE w:val="0"/>
              <w:autoSpaceDN w:val="0"/>
              <w:adjustRightInd w:val="0"/>
              <w:jc w:val="center"/>
              <w:rPr>
                <w:rFonts w:ascii="Times New Roman" w:hAnsi="Times New Roman" w:eastAsia="仿宋" w:cs="Times New Roman"/>
                <w:sz w:val="30"/>
                <w:szCs w:val="30"/>
              </w:rPr>
            </w:pPr>
            <w:r>
              <w:rPr>
                <w:rFonts w:ascii="Times New Roman" w:hAnsi="Times New Roman" w:eastAsia="仿宋" w:cs="Times New Roman"/>
                <w:sz w:val="30"/>
                <w:szCs w:val="30"/>
              </w:rPr>
              <w:t>研究领域</w:t>
            </w:r>
          </w:p>
        </w:tc>
        <w:tc>
          <w:tcPr>
            <w:tcW w:w="6804" w:type="dxa"/>
          </w:tcPr>
          <w:p>
            <w:pPr>
              <w:autoSpaceDE w:val="0"/>
              <w:autoSpaceDN w:val="0"/>
              <w:adjustRightInd w:val="0"/>
              <w:jc w:val="center"/>
              <w:rPr>
                <w:rFonts w:ascii="Times New Roman" w:hAnsi="Times New Roman" w:eastAsia="仿宋" w:cs="Times New Roman"/>
                <w:sz w:val="30"/>
                <w:szCs w:val="30"/>
              </w:rPr>
            </w:pPr>
            <w:r>
              <w:rPr>
                <w:rFonts w:ascii="Times New Roman" w:hAnsi="Times New Roman" w:eastAsia="仿宋" w:cs="Times New Roman"/>
                <w:sz w:val="30"/>
                <w:szCs w:val="30"/>
              </w:rPr>
              <w:t>选题方向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959" w:type="dxa"/>
            <w:vAlign w:val="center"/>
          </w:tcPr>
          <w:p>
            <w:pPr>
              <w:spacing w:line="360" w:lineRule="auto"/>
              <w:ind w:firstLine="300" w:firstLineChars="100"/>
              <w:jc w:val="left"/>
              <w:rPr>
                <w:rFonts w:ascii="Times New Roman" w:hAnsi="Times New Roman" w:eastAsia="仿宋" w:cs="Times New Roman"/>
                <w:sz w:val="30"/>
                <w:szCs w:val="30"/>
              </w:rPr>
            </w:pPr>
            <w:r>
              <w:rPr>
                <w:rFonts w:ascii="Times New Roman" w:hAnsi="Times New Roman" w:eastAsia="仿宋" w:cs="Times New Roman"/>
                <w:sz w:val="30"/>
                <w:szCs w:val="30"/>
              </w:rPr>
              <w:t>1</w:t>
            </w:r>
          </w:p>
        </w:tc>
        <w:tc>
          <w:tcPr>
            <w:tcW w:w="1452" w:type="dxa"/>
            <w:vAlign w:val="center"/>
          </w:tcPr>
          <w:p>
            <w:pPr>
              <w:autoSpaceDE w:val="0"/>
              <w:autoSpaceDN w:val="0"/>
              <w:adjustRightInd w:val="0"/>
              <w:jc w:val="left"/>
              <w:rPr>
                <w:rFonts w:ascii="Times New Roman" w:hAnsi="Times New Roman" w:eastAsia="仿宋" w:cs="Times New Roman"/>
                <w:sz w:val="30"/>
                <w:szCs w:val="30"/>
              </w:rPr>
            </w:pPr>
            <w:r>
              <w:rPr>
                <w:rFonts w:ascii="Times New Roman" w:hAnsi="Times New Roman" w:eastAsia="仿宋" w:cs="Times New Roman"/>
                <w:sz w:val="30"/>
                <w:szCs w:val="30"/>
              </w:rPr>
              <w:t>产教融合、校企合作的办学模式研究与实践</w:t>
            </w:r>
          </w:p>
        </w:tc>
        <w:tc>
          <w:tcPr>
            <w:tcW w:w="6804" w:type="dxa"/>
          </w:tcPr>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1.1高职院校财经类专业教育促进区域经济发展的模式和路径研究与实践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1.2高职院校财经类专业提升服务支柱产业、优势产业、战略新兴产业的发展能力的实践研究</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1.3高职院校财经类专业政、校、行、企协同创新、协同育人平台建设的研究与实践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1.4高职院校财经类专业产教融合机制体制创新研究与实践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1.5高职院校财经类专业校企合作育人机制创新研究与实践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1.6高职院校财经类专业校企共建产业学院的模式和路径研究与实践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1.7高职院校财经类专业校企共建实训基地的模式和路径研究与实践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1.8高职院校财经类专业教师工作室育人平台建设机制研究和实践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1.9高职院校财经类专业现代学徒制、新型学徒制育人模式研究与实践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959" w:type="dxa"/>
            <w:vAlign w:val="center"/>
          </w:tcPr>
          <w:p>
            <w:pPr>
              <w:spacing w:line="360" w:lineRule="auto"/>
              <w:ind w:firstLine="300" w:firstLineChars="100"/>
              <w:jc w:val="left"/>
              <w:rPr>
                <w:rFonts w:ascii="Times New Roman" w:hAnsi="Times New Roman" w:eastAsia="仿宋" w:cs="Times New Roman"/>
                <w:sz w:val="30"/>
                <w:szCs w:val="30"/>
              </w:rPr>
            </w:pPr>
            <w:r>
              <w:rPr>
                <w:rFonts w:ascii="Times New Roman" w:hAnsi="Times New Roman" w:eastAsia="仿宋" w:cs="Times New Roman"/>
                <w:sz w:val="30"/>
                <w:szCs w:val="30"/>
              </w:rPr>
              <w:t>2</w:t>
            </w:r>
          </w:p>
        </w:tc>
        <w:tc>
          <w:tcPr>
            <w:tcW w:w="1452" w:type="dxa"/>
            <w:vAlign w:val="center"/>
          </w:tcPr>
          <w:p>
            <w:pPr>
              <w:autoSpaceDE w:val="0"/>
              <w:autoSpaceDN w:val="0"/>
              <w:adjustRightInd w:val="0"/>
              <w:jc w:val="left"/>
              <w:rPr>
                <w:rFonts w:ascii="Times New Roman" w:hAnsi="Times New Roman" w:eastAsia="仿宋" w:cs="Times New Roman"/>
                <w:sz w:val="30"/>
                <w:szCs w:val="30"/>
              </w:rPr>
            </w:pPr>
            <w:r>
              <w:rPr>
                <w:rFonts w:ascii="Times New Roman" w:hAnsi="Times New Roman" w:eastAsia="仿宋" w:cs="Times New Roman"/>
                <w:sz w:val="30"/>
                <w:szCs w:val="30"/>
              </w:rPr>
              <w:t>专业（群）建设和人才培养模式改革研究与实践</w:t>
            </w:r>
          </w:p>
        </w:tc>
        <w:tc>
          <w:tcPr>
            <w:tcW w:w="6804" w:type="dxa"/>
          </w:tcPr>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2.1高职院校财经类高水平专业群建设研究与实践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2.2高职院校财经类高水平专业群组群逻辑及人才培养方案改革研究与实践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2.3财经类专业高职-本科协同育人模式和路径的研究与实践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2.4高职院校财经类专业以成果为导向的人才培养方案和教学标准改革研究与实践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2.5高职院校财经类专业“学训赛”融合育人模式和路径的研究与实践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2.6高职院校财经类专业“1+X”证书制度试点改革研究与实践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2.7高职院校财经类专业学分银行制度研究与实践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2.8高职院校财经类专业专创融合育人模式和路径的研究与实践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959" w:type="dxa"/>
            <w:vAlign w:val="center"/>
          </w:tcPr>
          <w:p>
            <w:pPr>
              <w:spacing w:line="360" w:lineRule="auto"/>
              <w:ind w:firstLine="300" w:firstLineChars="100"/>
              <w:jc w:val="left"/>
              <w:rPr>
                <w:rFonts w:ascii="Times New Roman" w:hAnsi="Times New Roman" w:eastAsia="仿宋" w:cs="Times New Roman"/>
                <w:sz w:val="30"/>
                <w:szCs w:val="30"/>
              </w:rPr>
            </w:pPr>
            <w:r>
              <w:rPr>
                <w:rFonts w:ascii="Times New Roman" w:hAnsi="Times New Roman" w:eastAsia="仿宋" w:cs="Times New Roman"/>
                <w:sz w:val="30"/>
                <w:szCs w:val="30"/>
              </w:rPr>
              <w:t>3</w:t>
            </w:r>
          </w:p>
        </w:tc>
        <w:tc>
          <w:tcPr>
            <w:tcW w:w="1452" w:type="dxa"/>
            <w:vAlign w:val="center"/>
          </w:tcPr>
          <w:p>
            <w:pPr>
              <w:autoSpaceDE w:val="0"/>
              <w:autoSpaceDN w:val="0"/>
              <w:adjustRightInd w:val="0"/>
              <w:jc w:val="left"/>
              <w:rPr>
                <w:rFonts w:ascii="Times New Roman" w:hAnsi="Times New Roman" w:eastAsia="仿宋" w:cs="Times New Roman"/>
                <w:sz w:val="30"/>
                <w:szCs w:val="30"/>
              </w:rPr>
            </w:pPr>
            <w:r>
              <w:rPr>
                <w:rFonts w:ascii="Times New Roman" w:hAnsi="Times New Roman" w:eastAsia="仿宋" w:cs="Times New Roman"/>
                <w:sz w:val="30"/>
                <w:szCs w:val="30"/>
              </w:rPr>
              <w:t>课程建设和教学改革研究与实践</w:t>
            </w:r>
          </w:p>
        </w:tc>
        <w:tc>
          <w:tcPr>
            <w:tcW w:w="6804" w:type="dxa"/>
          </w:tcPr>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3.1人工智能、大数据时代高职财经类专业课程改革的研究与实践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3.2高职院校财经类专业线上线下融合教学模式研究与实践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3.3高职院校财经类专业“活页”教材资源建设与开发</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3.4高职院校财经类专业精品在线开放课程资源建设与应用的研究与实践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3.5高职院校财经类专业翻转课堂教学研究与实践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3.6高职院校财经类专业教学资源库建设与实践研究</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3.7高职院校财经类专业课程思政与专业教学融合的路径研究与实践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3.8高职院校财经类专业基于现代学徒制管理模式下教学方式的变革研究与实践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3.9高职院校财经类专业“专创融合”模式下的专业教学改革研究与实践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3.10高职院校财经类专业创新创业教育改革研究与实践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3.11信息技术在高职院校财经类专业教学中的应用与探索</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3.12大数据、人工智能技术在高职院校财经类专业教学中的应用与探索</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3.13高职院校财经类专业职业能力教育教学改革研究与实践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3.14高职院校财经类专业学生职业素养提升研究与实践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3.15高职院校财经类专业实践教学体系改革的研究与实践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3.16高职院校财经类专业校外顶岗实习过程管理、实践教学质量评价实践研究</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3.17高职院校财经类专业毕业论文（设计）改革研究与实践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959" w:type="dxa"/>
            <w:vAlign w:val="center"/>
          </w:tcPr>
          <w:p>
            <w:pPr>
              <w:spacing w:line="360" w:lineRule="auto"/>
              <w:ind w:firstLine="300" w:firstLineChars="100"/>
              <w:jc w:val="left"/>
              <w:rPr>
                <w:rFonts w:ascii="Times New Roman" w:hAnsi="Times New Roman" w:eastAsia="仿宋" w:cs="Times New Roman"/>
                <w:sz w:val="30"/>
                <w:szCs w:val="30"/>
              </w:rPr>
            </w:pPr>
            <w:r>
              <w:rPr>
                <w:rFonts w:ascii="Times New Roman" w:hAnsi="Times New Roman" w:eastAsia="仿宋" w:cs="Times New Roman"/>
                <w:sz w:val="30"/>
                <w:szCs w:val="30"/>
              </w:rPr>
              <w:t>4</w:t>
            </w:r>
          </w:p>
        </w:tc>
        <w:tc>
          <w:tcPr>
            <w:tcW w:w="1452" w:type="dxa"/>
            <w:vAlign w:val="center"/>
          </w:tcPr>
          <w:p>
            <w:pPr>
              <w:autoSpaceDE w:val="0"/>
              <w:autoSpaceDN w:val="0"/>
              <w:adjustRightInd w:val="0"/>
              <w:jc w:val="left"/>
              <w:rPr>
                <w:rFonts w:ascii="Times New Roman" w:hAnsi="Times New Roman" w:eastAsia="仿宋" w:cs="Times New Roman"/>
                <w:sz w:val="30"/>
                <w:szCs w:val="30"/>
              </w:rPr>
            </w:pPr>
            <w:r>
              <w:rPr>
                <w:rFonts w:ascii="Times New Roman" w:hAnsi="Times New Roman" w:eastAsia="仿宋" w:cs="Times New Roman"/>
                <w:sz w:val="30"/>
                <w:szCs w:val="30"/>
              </w:rPr>
              <w:t>师资队伍建设研究与实践</w:t>
            </w:r>
          </w:p>
        </w:tc>
        <w:tc>
          <w:tcPr>
            <w:tcW w:w="6804" w:type="dxa"/>
          </w:tcPr>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4.1高职院校财经类专业教师实践教学能力提升的研究与实践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4.2高职院校财经类专业兼职教师队伍建设及管理研究与实践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4.3高职院校财经类专业青年教师培养机制研究与实践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4.4高职院校财经类专业“名师工作室”运行模式研究与实践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4.5高职院校财经类专业高水平“双师型”教师队伍建设路径研究与实践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4.6高职院校财经类专业高水平创新教学团队建设路径研究与实践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959" w:type="dxa"/>
            <w:vAlign w:val="center"/>
          </w:tcPr>
          <w:p>
            <w:pPr>
              <w:spacing w:line="360" w:lineRule="auto"/>
              <w:ind w:firstLine="300" w:firstLineChars="100"/>
              <w:jc w:val="left"/>
              <w:rPr>
                <w:rFonts w:ascii="Times New Roman" w:hAnsi="Times New Roman" w:eastAsia="仿宋" w:cs="Times New Roman"/>
                <w:sz w:val="30"/>
                <w:szCs w:val="30"/>
              </w:rPr>
            </w:pPr>
            <w:r>
              <w:rPr>
                <w:rFonts w:ascii="Times New Roman" w:hAnsi="Times New Roman" w:eastAsia="仿宋" w:cs="Times New Roman"/>
                <w:sz w:val="30"/>
                <w:szCs w:val="30"/>
              </w:rPr>
              <w:t>5</w:t>
            </w:r>
          </w:p>
        </w:tc>
        <w:tc>
          <w:tcPr>
            <w:tcW w:w="1452" w:type="dxa"/>
            <w:vAlign w:val="center"/>
          </w:tcPr>
          <w:p>
            <w:pPr>
              <w:autoSpaceDE w:val="0"/>
              <w:autoSpaceDN w:val="0"/>
              <w:adjustRightInd w:val="0"/>
              <w:jc w:val="left"/>
              <w:rPr>
                <w:rFonts w:ascii="Times New Roman" w:hAnsi="Times New Roman" w:eastAsia="仿宋" w:cs="Times New Roman"/>
                <w:sz w:val="30"/>
                <w:szCs w:val="30"/>
              </w:rPr>
            </w:pPr>
            <w:r>
              <w:rPr>
                <w:rFonts w:ascii="Times New Roman" w:hAnsi="Times New Roman" w:eastAsia="仿宋" w:cs="Times New Roman"/>
                <w:sz w:val="30"/>
                <w:szCs w:val="30"/>
              </w:rPr>
              <w:t>高职教育国际化研究与实践</w:t>
            </w:r>
          </w:p>
        </w:tc>
        <w:tc>
          <w:tcPr>
            <w:tcW w:w="6804" w:type="dxa"/>
          </w:tcPr>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5.1“一带一路”战略视野下高职院校财经类专业国际合作育人模式研究与实践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5.2高职院校财经类专业教学标准国际化实践应用研究</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5.3高职院校财经类专业国际化人才专业职业能力培养的研究与实践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5.4国际合作育人背景下高职财经类专业师资队伍建设与管理研究与实践</w:t>
            </w:r>
          </w:p>
          <w:p>
            <w:pPr>
              <w:spacing w:line="360" w:lineRule="auto"/>
              <w:jc w:val="left"/>
              <w:rPr>
                <w:rFonts w:ascii="Times New Roman" w:hAnsi="Times New Roman" w:eastAsia="仿宋" w:cs="Times New Roman"/>
                <w:sz w:val="30"/>
                <w:szCs w:val="30"/>
              </w:rPr>
            </w:pPr>
            <w:r>
              <w:rPr>
                <w:rFonts w:ascii="Times New Roman" w:hAnsi="Times New Roman" w:eastAsia="仿宋" w:cs="Times New Roman"/>
                <w:sz w:val="30"/>
                <w:szCs w:val="30"/>
              </w:rPr>
              <w:t>5.5高职院校财经类专业国际合作办学教育教学质量评价体系研究与实践</w:t>
            </w:r>
          </w:p>
        </w:tc>
      </w:tr>
      <w:bookmarkEnd w:id="0"/>
    </w:tbl>
    <w:p>
      <w:pPr>
        <w:spacing w:line="360" w:lineRule="auto"/>
        <w:jc w:val="left"/>
        <w:rPr>
          <w:rFonts w:ascii="Times New Roman" w:hAnsi="Times New Roman" w:eastAsia="仿宋"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1166"/>
    <w:rsid w:val="000057B9"/>
    <w:rsid w:val="00005F4D"/>
    <w:rsid w:val="00017379"/>
    <w:rsid w:val="00023051"/>
    <w:rsid w:val="00060627"/>
    <w:rsid w:val="00072070"/>
    <w:rsid w:val="000A451D"/>
    <w:rsid w:val="000A5E4B"/>
    <w:rsid w:val="000B75BD"/>
    <w:rsid w:val="000C0554"/>
    <w:rsid w:val="001061C0"/>
    <w:rsid w:val="001538FD"/>
    <w:rsid w:val="00194784"/>
    <w:rsid w:val="00197F37"/>
    <w:rsid w:val="001A0E40"/>
    <w:rsid w:val="001D3C0D"/>
    <w:rsid w:val="001D4180"/>
    <w:rsid w:val="001F0B98"/>
    <w:rsid w:val="0021307B"/>
    <w:rsid w:val="00215B5B"/>
    <w:rsid w:val="00223349"/>
    <w:rsid w:val="00223753"/>
    <w:rsid w:val="00242CDA"/>
    <w:rsid w:val="0027486D"/>
    <w:rsid w:val="002A3E2F"/>
    <w:rsid w:val="002B2D01"/>
    <w:rsid w:val="002D730E"/>
    <w:rsid w:val="002F37E1"/>
    <w:rsid w:val="00380B2B"/>
    <w:rsid w:val="00396952"/>
    <w:rsid w:val="003A751F"/>
    <w:rsid w:val="003B03A7"/>
    <w:rsid w:val="003D1B48"/>
    <w:rsid w:val="00412103"/>
    <w:rsid w:val="00444498"/>
    <w:rsid w:val="00447CEE"/>
    <w:rsid w:val="00454750"/>
    <w:rsid w:val="004851BD"/>
    <w:rsid w:val="00485EF0"/>
    <w:rsid w:val="00491458"/>
    <w:rsid w:val="004B00AB"/>
    <w:rsid w:val="004B65C9"/>
    <w:rsid w:val="00507BD2"/>
    <w:rsid w:val="005307D4"/>
    <w:rsid w:val="0054747E"/>
    <w:rsid w:val="00552D23"/>
    <w:rsid w:val="00574AE3"/>
    <w:rsid w:val="00577815"/>
    <w:rsid w:val="00580AA2"/>
    <w:rsid w:val="005856B4"/>
    <w:rsid w:val="005E3662"/>
    <w:rsid w:val="006013C0"/>
    <w:rsid w:val="006B67B9"/>
    <w:rsid w:val="006D6373"/>
    <w:rsid w:val="00711E24"/>
    <w:rsid w:val="00713952"/>
    <w:rsid w:val="00742C1F"/>
    <w:rsid w:val="00797E1A"/>
    <w:rsid w:val="007D658C"/>
    <w:rsid w:val="007F1B31"/>
    <w:rsid w:val="00811782"/>
    <w:rsid w:val="00852BC9"/>
    <w:rsid w:val="008702B0"/>
    <w:rsid w:val="00885097"/>
    <w:rsid w:val="008A249A"/>
    <w:rsid w:val="008B6EE7"/>
    <w:rsid w:val="008B7D39"/>
    <w:rsid w:val="008E141B"/>
    <w:rsid w:val="00916DE8"/>
    <w:rsid w:val="00945CA2"/>
    <w:rsid w:val="0094774F"/>
    <w:rsid w:val="00982D15"/>
    <w:rsid w:val="009A0665"/>
    <w:rsid w:val="009A5E45"/>
    <w:rsid w:val="009C34AA"/>
    <w:rsid w:val="009C55C1"/>
    <w:rsid w:val="009C6406"/>
    <w:rsid w:val="00A72FD9"/>
    <w:rsid w:val="00A81166"/>
    <w:rsid w:val="00A84138"/>
    <w:rsid w:val="00A973EF"/>
    <w:rsid w:val="00AC474E"/>
    <w:rsid w:val="00B02008"/>
    <w:rsid w:val="00B35B2E"/>
    <w:rsid w:val="00B61D39"/>
    <w:rsid w:val="00B70DBB"/>
    <w:rsid w:val="00B779CE"/>
    <w:rsid w:val="00B8219A"/>
    <w:rsid w:val="00BB0C22"/>
    <w:rsid w:val="00BC70DC"/>
    <w:rsid w:val="00BD219B"/>
    <w:rsid w:val="00C04523"/>
    <w:rsid w:val="00C2470B"/>
    <w:rsid w:val="00C24FF3"/>
    <w:rsid w:val="00C341D4"/>
    <w:rsid w:val="00C45298"/>
    <w:rsid w:val="00C523A5"/>
    <w:rsid w:val="00C52651"/>
    <w:rsid w:val="00CA0090"/>
    <w:rsid w:val="00CA7AB7"/>
    <w:rsid w:val="00CB5C66"/>
    <w:rsid w:val="00CB5D7B"/>
    <w:rsid w:val="00CD61CB"/>
    <w:rsid w:val="00D06506"/>
    <w:rsid w:val="00D43AA7"/>
    <w:rsid w:val="00DA0C0E"/>
    <w:rsid w:val="00DC1970"/>
    <w:rsid w:val="00E047D4"/>
    <w:rsid w:val="00E24F28"/>
    <w:rsid w:val="00E34ED1"/>
    <w:rsid w:val="00E72D23"/>
    <w:rsid w:val="00E763E4"/>
    <w:rsid w:val="00E86062"/>
    <w:rsid w:val="00EB7E11"/>
    <w:rsid w:val="00F1566F"/>
    <w:rsid w:val="00F221CD"/>
    <w:rsid w:val="00F725DD"/>
    <w:rsid w:val="00F83074"/>
    <w:rsid w:val="00FA3998"/>
    <w:rsid w:val="00FB20AD"/>
    <w:rsid w:val="00FC7CD5"/>
    <w:rsid w:val="00FF04FC"/>
    <w:rsid w:val="00FF7D46"/>
    <w:rsid w:val="067E5E4B"/>
    <w:rsid w:val="12194468"/>
    <w:rsid w:val="274216E8"/>
    <w:rsid w:val="29421FE5"/>
    <w:rsid w:val="2DE72168"/>
    <w:rsid w:val="4D0E4DE9"/>
    <w:rsid w:val="73137C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D8ADAB-F6D8-4C74-98C1-BF2E368612D3}">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262</Words>
  <Characters>1494</Characters>
  <Lines>12</Lines>
  <Paragraphs>3</Paragraphs>
  <TotalTime>266</TotalTime>
  <ScaleCrop>false</ScaleCrop>
  <LinksUpToDate>false</LinksUpToDate>
  <CharactersWithSpaces>1753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2018-11-13T05:55:00Z</dcterms:created>
  <dc:creator>lenovo</dc:creator>
  <cp:lastModifiedBy>门洪亮</cp:lastModifiedBy>
  <dcterms:modified xsi:type="dcterms:W3CDTF">2021-01-25T08:05:28Z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